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4D" w:rsidRPr="0044534D" w:rsidRDefault="0044534D" w:rsidP="0044534D">
      <w:pPr>
        <w:spacing w:after="2"/>
        <w:jc w:val="center"/>
        <w:rPr>
          <w:b/>
          <w:color w:val="002060"/>
          <w:sz w:val="40"/>
        </w:rPr>
      </w:pPr>
      <w:r w:rsidRPr="0044534D">
        <w:rPr>
          <w:b/>
          <w:color w:val="002060"/>
          <w:sz w:val="40"/>
        </w:rPr>
        <w:t xml:space="preserve">Montana State University Extension </w:t>
      </w:r>
    </w:p>
    <w:p w:rsidR="0044534D" w:rsidRPr="0044534D" w:rsidRDefault="0044534D" w:rsidP="0044534D">
      <w:pPr>
        <w:spacing w:after="2"/>
        <w:jc w:val="center"/>
        <w:rPr>
          <w:b/>
          <w:color w:val="002060"/>
          <w:sz w:val="40"/>
        </w:rPr>
      </w:pPr>
      <w:r w:rsidRPr="0044534D">
        <w:rPr>
          <w:b/>
          <w:color w:val="002060"/>
          <w:sz w:val="40"/>
        </w:rPr>
        <w:t>Local Government Center</w:t>
      </w:r>
    </w:p>
    <w:p w:rsidR="0044534D" w:rsidRPr="0044534D" w:rsidRDefault="0044534D" w:rsidP="0044534D">
      <w:pPr>
        <w:spacing w:after="2"/>
        <w:jc w:val="center"/>
        <w:rPr>
          <w:rFonts w:asciiTheme="majorHAnsi" w:hAnsiTheme="majorHAnsi"/>
          <w:b/>
          <w:sz w:val="24"/>
        </w:rPr>
      </w:pPr>
      <w:r w:rsidRPr="0044534D">
        <w:rPr>
          <w:rFonts w:asciiTheme="majorHAnsi" w:hAnsiTheme="majorHAnsi"/>
          <w:b/>
          <w:sz w:val="24"/>
        </w:rPr>
        <w:t>Excerpt from Local Government Center’s 2017-2020 strategic plan</w:t>
      </w:r>
    </w:p>
    <w:p w:rsidR="0044534D" w:rsidRPr="0044534D" w:rsidRDefault="0044534D" w:rsidP="0044534D">
      <w:pPr>
        <w:spacing w:after="2"/>
        <w:rPr>
          <w:sz w:val="24"/>
        </w:rPr>
      </w:pPr>
    </w:p>
    <w:p w:rsidR="0044534D" w:rsidRPr="0044534D" w:rsidRDefault="0044534D" w:rsidP="0044534D">
      <w:pPr>
        <w:spacing w:after="2"/>
        <w:rPr>
          <w:b/>
          <w:color w:val="002060"/>
          <w:sz w:val="26"/>
          <w:szCs w:val="26"/>
        </w:rPr>
      </w:pPr>
      <w:r w:rsidRPr="0044534D">
        <w:rPr>
          <w:b/>
          <w:color w:val="002060"/>
          <w:sz w:val="26"/>
          <w:szCs w:val="26"/>
        </w:rPr>
        <w:t>Introduction</w:t>
      </w:r>
    </w:p>
    <w:p w:rsidR="0044534D" w:rsidRPr="0044534D" w:rsidRDefault="0044534D" w:rsidP="0044534D">
      <w:pPr>
        <w:spacing w:after="2"/>
        <w:rPr>
          <w:sz w:val="26"/>
          <w:szCs w:val="26"/>
        </w:rPr>
      </w:pPr>
      <w:r w:rsidRPr="0044534D">
        <w:rPr>
          <w:sz w:val="26"/>
          <w:szCs w:val="26"/>
        </w:rPr>
        <w:t>The Local Government Center (LGC) exists to support and serve Montana’s local governments and local officials as they strive to meet the increasingly complex demands placed upon them. As part of Montana State University Extension’s land-grant mission, the LGC has provided a strong record of training, technical assistance, a</w:t>
      </w:r>
      <w:r w:rsidR="00C53A5C">
        <w:rPr>
          <w:sz w:val="26"/>
          <w:szCs w:val="26"/>
        </w:rPr>
        <w:t>nd research since 1985</w:t>
      </w:r>
      <w:bookmarkStart w:id="0" w:name="_GoBack"/>
      <w:bookmarkEnd w:id="0"/>
      <w:r w:rsidRPr="0044534D">
        <w:rPr>
          <w:sz w:val="26"/>
          <w:szCs w:val="26"/>
        </w:rPr>
        <w:t>. By following this strategic plan, the LGC will continue positioning itself as a premier resource for addressing local governance issues in</w:t>
      </w:r>
      <w:r w:rsidRPr="0044534D">
        <w:rPr>
          <w:sz w:val="26"/>
          <w:szCs w:val="26"/>
        </w:rPr>
        <w:t xml:space="preserve"> Montana and around the world.</w:t>
      </w:r>
    </w:p>
    <w:p w:rsidR="0044534D" w:rsidRPr="0044534D" w:rsidRDefault="0044534D" w:rsidP="0044534D">
      <w:pPr>
        <w:spacing w:after="2"/>
        <w:rPr>
          <w:sz w:val="26"/>
          <w:szCs w:val="26"/>
        </w:rPr>
      </w:pPr>
      <w:r w:rsidRPr="0044534D">
        <w:rPr>
          <w:sz w:val="26"/>
          <w:szCs w:val="26"/>
        </w:rPr>
        <w:t xml:space="preserve"> </w:t>
      </w:r>
    </w:p>
    <w:p w:rsidR="0044534D" w:rsidRPr="0044534D" w:rsidRDefault="0044534D" w:rsidP="0044534D">
      <w:pPr>
        <w:spacing w:after="2"/>
        <w:rPr>
          <w:b/>
          <w:color w:val="002060"/>
          <w:sz w:val="26"/>
          <w:szCs w:val="26"/>
        </w:rPr>
      </w:pPr>
      <w:r w:rsidRPr="0044534D">
        <w:rPr>
          <w:b/>
          <w:color w:val="002060"/>
          <w:sz w:val="26"/>
          <w:szCs w:val="26"/>
        </w:rPr>
        <w:t>Organizational Mission</w:t>
      </w:r>
    </w:p>
    <w:p w:rsidR="0044534D" w:rsidRPr="0044534D" w:rsidRDefault="0044534D" w:rsidP="0044534D">
      <w:pPr>
        <w:spacing w:after="2"/>
        <w:rPr>
          <w:sz w:val="26"/>
          <w:szCs w:val="26"/>
        </w:rPr>
      </w:pPr>
      <w:r w:rsidRPr="0044534D">
        <w:rPr>
          <w:sz w:val="26"/>
          <w:szCs w:val="26"/>
        </w:rPr>
        <w:t>To strengthen the capacity of Montana’s local governmental units by providing training, technical assistance, and research services to elected, appointed,</w:t>
      </w:r>
      <w:r w:rsidRPr="0044534D">
        <w:rPr>
          <w:sz w:val="26"/>
          <w:szCs w:val="26"/>
        </w:rPr>
        <w:t xml:space="preserve"> and administrative officials. </w:t>
      </w:r>
    </w:p>
    <w:p w:rsidR="0044534D" w:rsidRPr="0044534D" w:rsidRDefault="0044534D" w:rsidP="0044534D">
      <w:pPr>
        <w:spacing w:after="2"/>
        <w:rPr>
          <w:sz w:val="26"/>
          <w:szCs w:val="26"/>
        </w:rPr>
      </w:pPr>
    </w:p>
    <w:p w:rsidR="0044534D" w:rsidRPr="0044534D" w:rsidRDefault="0044534D" w:rsidP="0044534D">
      <w:pPr>
        <w:spacing w:after="2"/>
        <w:rPr>
          <w:b/>
          <w:color w:val="002060"/>
          <w:sz w:val="26"/>
          <w:szCs w:val="26"/>
        </w:rPr>
      </w:pPr>
      <w:r w:rsidRPr="0044534D">
        <w:rPr>
          <w:b/>
          <w:color w:val="002060"/>
          <w:sz w:val="26"/>
          <w:szCs w:val="26"/>
        </w:rPr>
        <w:t>Organizational Vision</w:t>
      </w:r>
    </w:p>
    <w:p w:rsidR="0044534D" w:rsidRPr="0044534D" w:rsidRDefault="0044534D" w:rsidP="0044534D">
      <w:pPr>
        <w:spacing w:after="2"/>
        <w:rPr>
          <w:sz w:val="26"/>
          <w:szCs w:val="26"/>
        </w:rPr>
      </w:pPr>
      <w:r w:rsidRPr="0044534D">
        <w:rPr>
          <w:sz w:val="26"/>
          <w:szCs w:val="26"/>
        </w:rPr>
        <w:t xml:space="preserve">To provide world-class, professional local government support services in Montana. </w:t>
      </w:r>
    </w:p>
    <w:p w:rsidR="0044534D" w:rsidRPr="0044534D" w:rsidRDefault="0044534D" w:rsidP="0044534D">
      <w:pPr>
        <w:spacing w:after="2"/>
        <w:rPr>
          <w:sz w:val="26"/>
          <w:szCs w:val="26"/>
        </w:rPr>
      </w:pPr>
    </w:p>
    <w:p w:rsidR="0044534D" w:rsidRPr="0044534D" w:rsidRDefault="0044534D" w:rsidP="0044534D">
      <w:pPr>
        <w:spacing w:after="2"/>
        <w:rPr>
          <w:b/>
          <w:color w:val="002060"/>
          <w:sz w:val="26"/>
          <w:szCs w:val="26"/>
        </w:rPr>
      </w:pPr>
      <w:r w:rsidRPr="0044534D">
        <w:rPr>
          <w:b/>
          <w:color w:val="002060"/>
          <w:sz w:val="26"/>
          <w:szCs w:val="26"/>
        </w:rPr>
        <w:t>Organizational Core Values</w:t>
      </w:r>
    </w:p>
    <w:p w:rsidR="0044534D" w:rsidRPr="0044534D" w:rsidRDefault="0044534D" w:rsidP="0044534D">
      <w:pPr>
        <w:spacing w:after="2"/>
        <w:rPr>
          <w:sz w:val="26"/>
          <w:szCs w:val="26"/>
        </w:rPr>
        <w:sectPr w:rsidR="0044534D" w:rsidRPr="0044534D">
          <w:footerReference w:type="default" r:id="rId7"/>
          <w:pgSz w:w="12240" w:h="15840"/>
          <w:pgMar w:top="1440" w:right="1440" w:bottom="1440" w:left="1440" w:header="720" w:footer="720" w:gutter="0"/>
          <w:cols w:space="720"/>
          <w:docGrid w:linePitch="360"/>
        </w:sectPr>
      </w:pPr>
    </w:p>
    <w:p w:rsidR="0044534D" w:rsidRPr="0044534D" w:rsidRDefault="0044534D" w:rsidP="0044534D">
      <w:pPr>
        <w:spacing w:after="2"/>
        <w:rPr>
          <w:sz w:val="26"/>
          <w:szCs w:val="26"/>
        </w:rPr>
      </w:pPr>
      <w:r w:rsidRPr="0044534D">
        <w:rPr>
          <w:sz w:val="26"/>
          <w:szCs w:val="26"/>
        </w:rPr>
        <w:t>•</w:t>
      </w:r>
      <w:r w:rsidRPr="0044534D">
        <w:rPr>
          <w:sz w:val="26"/>
          <w:szCs w:val="26"/>
        </w:rPr>
        <w:tab/>
        <w:t>Quality Service</w:t>
      </w:r>
    </w:p>
    <w:p w:rsidR="0044534D" w:rsidRPr="0044534D" w:rsidRDefault="0044534D" w:rsidP="0044534D">
      <w:pPr>
        <w:spacing w:after="2"/>
        <w:rPr>
          <w:sz w:val="26"/>
          <w:szCs w:val="26"/>
        </w:rPr>
      </w:pPr>
      <w:r w:rsidRPr="0044534D">
        <w:rPr>
          <w:sz w:val="26"/>
          <w:szCs w:val="26"/>
        </w:rPr>
        <w:t>•</w:t>
      </w:r>
      <w:r w:rsidRPr="0044534D">
        <w:rPr>
          <w:sz w:val="26"/>
          <w:szCs w:val="26"/>
        </w:rPr>
        <w:tab/>
        <w:t>Innovation</w:t>
      </w:r>
    </w:p>
    <w:p w:rsidR="0044534D" w:rsidRPr="0044534D" w:rsidRDefault="0044534D" w:rsidP="0044534D">
      <w:pPr>
        <w:spacing w:after="2"/>
        <w:rPr>
          <w:sz w:val="26"/>
          <w:szCs w:val="26"/>
        </w:rPr>
      </w:pPr>
      <w:r w:rsidRPr="0044534D">
        <w:rPr>
          <w:sz w:val="26"/>
          <w:szCs w:val="26"/>
        </w:rPr>
        <w:t>•</w:t>
      </w:r>
      <w:r w:rsidRPr="0044534D">
        <w:rPr>
          <w:sz w:val="26"/>
          <w:szCs w:val="26"/>
        </w:rPr>
        <w:tab/>
        <w:t>Responsiveness</w:t>
      </w:r>
    </w:p>
    <w:p w:rsidR="0044534D" w:rsidRPr="0044534D" w:rsidRDefault="0044534D" w:rsidP="0044534D">
      <w:pPr>
        <w:spacing w:after="2"/>
        <w:rPr>
          <w:sz w:val="26"/>
          <w:szCs w:val="26"/>
        </w:rPr>
      </w:pPr>
      <w:r w:rsidRPr="0044534D">
        <w:rPr>
          <w:sz w:val="26"/>
          <w:szCs w:val="26"/>
        </w:rPr>
        <w:t>•</w:t>
      </w:r>
      <w:r w:rsidRPr="0044534D">
        <w:rPr>
          <w:sz w:val="26"/>
          <w:szCs w:val="26"/>
        </w:rPr>
        <w:tab/>
        <w:t>Competence</w:t>
      </w:r>
    </w:p>
    <w:p w:rsidR="0044534D" w:rsidRPr="0044534D" w:rsidRDefault="0044534D" w:rsidP="0044534D">
      <w:pPr>
        <w:spacing w:after="2"/>
        <w:rPr>
          <w:sz w:val="26"/>
          <w:szCs w:val="26"/>
        </w:rPr>
      </w:pPr>
      <w:r w:rsidRPr="0044534D">
        <w:rPr>
          <w:sz w:val="26"/>
          <w:szCs w:val="26"/>
        </w:rPr>
        <w:t>•</w:t>
      </w:r>
      <w:r w:rsidRPr="0044534D">
        <w:rPr>
          <w:sz w:val="26"/>
          <w:szCs w:val="26"/>
        </w:rPr>
        <w:tab/>
        <w:t>Dependability</w:t>
      </w:r>
    </w:p>
    <w:p w:rsidR="0044534D" w:rsidRPr="0044534D" w:rsidRDefault="0044534D" w:rsidP="0044534D">
      <w:pPr>
        <w:spacing w:after="2"/>
        <w:rPr>
          <w:sz w:val="26"/>
          <w:szCs w:val="26"/>
        </w:rPr>
      </w:pPr>
      <w:r w:rsidRPr="0044534D">
        <w:rPr>
          <w:sz w:val="26"/>
          <w:szCs w:val="26"/>
        </w:rPr>
        <w:t>•</w:t>
      </w:r>
      <w:r w:rsidRPr="0044534D">
        <w:rPr>
          <w:sz w:val="26"/>
          <w:szCs w:val="26"/>
        </w:rPr>
        <w:tab/>
        <w:t>Entrepreneurship</w:t>
      </w:r>
    </w:p>
    <w:p w:rsidR="0044534D" w:rsidRPr="0044534D" w:rsidRDefault="0044534D" w:rsidP="0044534D">
      <w:pPr>
        <w:spacing w:after="2"/>
        <w:rPr>
          <w:sz w:val="26"/>
          <w:szCs w:val="26"/>
        </w:rPr>
      </w:pPr>
      <w:r w:rsidRPr="0044534D">
        <w:rPr>
          <w:sz w:val="26"/>
          <w:szCs w:val="26"/>
        </w:rPr>
        <w:t>•</w:t>
      </w:r>
      <w:r w:rsidRPr="0044534D">
        <w:rPr>
          <w:sz w:val="26"/>
          <w:szCs w:val="26"/>
        </w:rPr>
        <w:tab/>
        <w:t>Collaboration</w:t>
      </w:r>
    </w:p>
    <w:p w:rsidR="0044534D" w:rsidRPr="0044534D" w:rsidRDefault="0044534D" w:rsidP="0044534D">
      <w:pPr>
        <w:spacing w:after="2"/>
        <w:rPr>
          <w:sz w:val="26"/>
          <w:szCs w:val="26"/>
        </w:rPr>
      </w:pPr>
      <w:r w:rsidRPr="0044534D">
        <w:rPr>
          <w:sz w:val="26"/>
          <w:szCs w:val="26"/>
        </w:rPr>
        <w:t>•</w:t>
      </w:r>
      <w:r w:rsidRPr="0044534D">
        <w:rPr>
          <w:sz w:val="26"/>
          <w:szCs w:val="26"/>
        </w:rPr>
        <w:tab/>
        <w:t xml:space="preserve">Respect </w:t>
      </w:r>
    </w:p>
    <w:p w:rsidR="0044534D" w:rsidRPr="0044534D" w:rsidRDefault="0044534D" w:rsidP="0044534D">
      <w:pPr>
        <w:spacing w:after="2"/>
        <w:rPr>
          <w:sz w:val="26"/>
          <w:szCs w:val="26"/>
        </w:rPr>
        <w:sectPr w:rsidR="0044534D" w:rsidRPr="0044534D" w:rsidSect="0044534D">
          <w:type w:val="continuous"/>
          <w:pgSz w:w="12240" w:h="15840"/>
          <w:pgMar w:top="1440" w:right="1440" w:bottom="1440" w:left="1440" w:header="720" w:footer="720" w:gutter="0"/>
          <w:cols w:num="2" w:space="720"/>
          <w:docGrid w:linePitch="360"/>
        </w:sectPr>
      </w:pPr>
    </w:p>
    <w:p w:rsidR="0044534D" w:rsidRPr="0044534D" w:rsidRDefault="0044534D" w:rsidP="0044534D">
      <w:pPr>
        <w:spacing w:after="2"/>
        <w:rPr>
          <w:sz w:val="26"/>
          <w:szCs w:val="26"/>
        </w:rPr>
      </w:pPr>
    </w:p>
    <w:p w:rsidR="0044534D" w:rsidRPr="0044534D" w:rsidRDefault="0044534D" w:rsidP="0044534D">
      <w:pPr>
        <w:spacing w:after="2"/>
        <w:rPr>
          <w:b/>
          <w:color w:val="002060"/>
          <w:sz w:val="26"/>
          <w:szCs w:val="26"/>
        </w:rPr>
      </w:pPr>
      <w:r w:rsidRPr="0044534D">
        <w:rPr>
          <w:b/>
          <w:color w:val="002060"/>
          <w:sz w:val="26"/>
          <w:szCs w:val="26"/>
        </w:rPr>
        <w:t>Organizational Goals</w:t>
      </w:r>
    </w:p>
    <w:p w:rsidR="0044534D" w:rsidRPr="0044534D" w:rsidRDefault="0044534D" w:rsidP="0044534D">
      <w:pPr>
        <w:spacing w:after="2"/>
        <w:rPr>
          <w:sz w:val="26"/>
          <w:szCs w:val="26"/>
        </w:rPr>
      </w:pPr>
      <w:r w:rsidRPr="0044534D">
        <w:rPr>
          <w:sz w:val="26"/>
          <w:szCs w:val="26"/>
        </w:rPr>
        <w:t>1.</w:t>
      </w:r>
      <w:r w:rsidRPr="0044534D">
        <w:rPr>
          <w:sz w:val="26"/>
          <w:szCs w:val="26"/>
        </w:rPr>
        <w:tab/>
        <w:t>Provide high-quality, high-impact services to accomplish the LGC mission.</w:t>
      </w:r>
    </w:p>
    <w:p w:rsidR="0044534D" w:rsidRPr="0044534D" w:rsidRDefault="0044534D" w:rsidP="0044534D">
      <w:pPr>
        <w:spacing w:after="2"/>
        <w:rPr>
          <w:sz w:val="26"/>
          <w:szCs w:val="26"/>
        </w:rPr>
      </w:pPr>
      <w:r w:rsidRPr="0044534D">
        <w:rPr>
          <w:sz w:val="26"/>
          <w:szCs w:val="26"/>
        </w:rPr>
        <w:t>2.</w:t>
      </w:r>
      <w:r w:rsidRPr="0044534D">
        <w:rPr>
          <w:sz w:val="26"/>
          <w:szCs w:val="26"/>
        </w:rPr>
        <w:tab/>
        <w:t>Meet anticipated funding needs of $360,000+ per year.</w:t>
      </w:r>
    </w:p>
    <w:p w:rsidR="0044534D" w:rsidRPr="0044534D" w:rsidRDefault="0044534D" w:rsidP="0044534D">
      <w:pPr>
        <w:spacing w:after="2"/>
        <w:rPr>
          <w:sz w:val="26"/>
          <w:szCs w:val="26"/>
        </w:rPr>
      </w:pPr>
      <w:r w:rsidRPr="0044534D">
        <w:rPr>
          <w:sz w:val="26"/>
          <w:szCs w:val="26"/>
        </w:rPr>
        <w:t>3.</w:t>
      </w:r>
      <w:r w:rsidRPr="0044534D">
        <w:rPr>
          <w:sz w:val="26"/>
          <w:szCs w:val="26"/>
        </w:rPr>
        <w:tab/>
        <w:t>Develop and refine working relationships with strategic partners.</w:t>
      </w:r>
    </w:p>
    <w:p w:rsidR="0044534D" w:rsidRPr="0044534D" w:rsidRDefault="0044534D" w:rsidP="0044534D">
      <w:pPr>
        <w:spacing w:after="2"/>
        <w:rPr>
          <w:sz w:val="26"/>
          <w:szCs w:val="26"/>
        </w:rPr>
      </w:pPr>
      <w:r>
        <w:rPr>
          <w:b/>
          <w:noProof/>
          <w:color w:val="002060"/>
          <w:sz w:val="40"/>
        </w:rPr>
        <w:drawing>
          <wp:anchor distT="0" distB="0" distL="114300" distR="114300" simplePos="0" relativeHeight="251658240" behindDoc="0" locked="0" layoutInCell="1" allowOverlap="1">
            <wp:simplePos x="0" y="0"/>
            <wp:positionH relativeFrom="margin">
              <wp:posOffset>5076825</wp:posOffset>
            </wp:positionH>
            <wp:positionV relativeFrom="paragraph">
              <wp:posOffset>609600</wp:posOffset>
            </wp:positionV>
            <wp:extent cx="1290416" cy="1162050"/>
            <wp:effectExtent l="0" t="0" r="5080" b="0"/>
            <wp:wrapNone/>
            <wp:docPr id="1" name="Picture 1" descr="C:\Users\d74b839\Pictures\LGC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74b839\Pictures\LGC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0416"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34D">
        <w:rPr>
          <w:sz w:val="26"/>
          <w:szCs w:val="26"/>
        </w:rPr>
        <w:t>4.</w:t>
      </w:r>
      <w:r w:rsidRPr="0044534D">
        <w:rPr>
          <w:sz w:val="26"/>
          <w:szCs w:val="26"/>
        </w:rPr>
        <w:tab/>
        <w:t>Develop and retain high-quality employees. </w:t>
      </w:r>
    </w:p>
    <w:sectPr w:rsidR="0044534D" w:rsidRPr="0044534D" w:rsidSect="0044534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05" w:rsidRDefault="00614005" w:rsidP="0044534D">
      <w:pPr>
        <w:spacing w:after="0" w:line="240" w:lineRule="auto"/>
      </w:pPr>
      <w:r>
        <w:separator/>
      </w:r>
    </w:p>
  </w:endnote>
  <w:endnote w:type="continuationSeparator" w:id="0">
    <w:p w:rsidR="00614005" w:rsidRDefault="00614005" w:rsidP="0044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34D" w:rsidRDefault="0044534D">
    <w:pPr>
      <w:pStyle w:val="Footer"/>
    </w:pPr>
    <w:r>
      <w:t>October 26,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05" w:rsidRDefault="00614005" w:rsidP="0044534D">
      <w:pPr>
        <w:spacing w:after="0" w:line="240" w:lineRule="auto"/>
      </w:pPr>
      <w:r>
        <w:separator/>
      </w:r>
    </w:p>
  </w:footnote>
  <w:footnote w:type="continuationSeparator" w:id="0">
    <w:p w:rsidR="00614005" w:rsidRDefault="00614005" w:rsidP="0044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B38DE"/>
    <w:multiLevelType w:val="hybridMultilevel"/>
    <w:tmpl w:val="7230F966"/>
    <w:lvl w:ilvl="0" w:tplc="22E03ABA">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4D"/>
    <w:rsid w:val="0044534D"/>
    <w:rsid w:val="005F2910"/>
    <w:rsid w:val="00614005"/>
    <w:rsid w:val="00C53A5C"/>
    <w:rsid w:val="00CB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FC15"/>
  <w15:chartTrackingRefBased/>
  <w15:docId w15:val="{BC80FA13-B5AC-43CE-AC2D-793E35F0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34D"/>
    <w:pPr>
      <w:ind w:left="720"/>
      <w:contextualSpacing/>
    </w:pPr>
  </w:style>
  <w:style w:type="paragraph" w:styleId="BalloonText">
    <w:name w:val="Balloon Text"/>
    <w:basedOn w:val="Normal"/>
    <w:link w:val="BalloonTextChar"/>
    <w:uiPriority w:val="99"/>
    <w:semiHidden/>
    <w:unhideWhenUsed/>
    <w:rsid w:val="00445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34D"/>
    <w:rPr>
      <w:rFonts w:ascii="Segoe UI" w:hAnsi="Segoe UI" w:cs="Segoe UI"/>
      <w:sz w:val="18"/>
      <w:szCs w:val="18"/>
    </w:rPr>
  </w:style>
  <w:style w:type="paragraph" w:styleId="Header">
    <w:name w:val="header"/>
    <w:basedOn w:val="Normal"/>
    <w:link w:val="HeaderChar"/>
    <w:uiPriority w:val="99"/>
    <w:unhideWhenUsed/>
    <w:rsid w:val="00445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4D"/>
  </w:style>
  <w:style w:type="paragraph" w:styleId="Footer">
    <w:name w:val="footer"/>
    <w:basedOn w:val="Normal"/>
    <w:link w:val="FooterChar"/>
    <w:uiPriority w:val="99"/>
    <w:unhideWhenUsed/>
    <w:rsid w:val="00445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Ashley</dc:creator>
  <cp:keywords/>
  <dc:description/>
  <cp:lastModifiedBy>Kent, Ashley</cp:lastModifiedBy>
  <cp:revision>1</cp:revision>
  <cp:lastPrinted>2017-10-26T19:17:00Z</cp:lastPrinted>
  <dcterms:created xsi:type="dcterms:W3CDTF">2017-10-26T19:11:00Z</dcterms:created>
  <dcterms:modified xsi:type="dcterms:W3CDTF">2017-10-26T19:22:00Z</dcterms:modified>
</cp:coreProperties>
</file>